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Style w:val="15"/>
          <w:b/>
        </w:rPr>
      </w:pPr>
      <w:r>
        <w:rPr>
          <w:rStyle w:val="15"/>
          <w:b/>
        </w:rPr>
        <w:t>教育科学学院</w:t>
      </w:r>
      <w:r>
        <w:rPr>
          <w:rStyle w:val="15"/>
          <w:rFonts w:hint="eastAsia"/>
          <w:b/>
        </w:rPr>
        <w:t>202</w:t>
      </w:r>
      <w:r>
        <w:rPr>
          <w:rStyle w:val="15"/>
          <w:rFonts w:hint="eastAsia"/>
          <w:b/>
          <w:lang w:val="en-US" w:eastAsia="zh-CN"/>
        </w:rPr>
        <w:t>3</w:t>
      </w:r>
      <w:r>
        <w:rPr>
          <w:rStyle w:val="15"/>
          <w:rFonts w:hint="eastAsia"/>
          <w:b/>
        </w:rPr>
        <w:t>年硕士研究生指导教师年度招生申请实施细则</w:t>
      </w:r>
    </w:p>
    <w:p>
      <w:pPr>
        <w:pStyle w:val="4"/>
        <w:spacing w:beforeAutospacing="0" w:afterAutospacing="0" w:line="432" w:lineRule="auto"/>
        <w:jc w:val="center"/>
      </w:pP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为进一步加强硕士研究生指导教师队伍建设，提高研究生培养质量，根据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《南通大学研究生指导教师管理办法（修订）》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（通大研 [2020]25号）和研究生院《关于开展202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年硕士生导师年度招生资格审核工作的通知》精神，结合我院研究生教育的实际情况，制定我院硕士研究生招生指导教师年度招生资格审核实施细则。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一、凡取得硕士生指导教师任职资格，须在单位规定退休年龄前能够完整地指导一届研究生，均可申请年度招生资格。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二、能较好地履行指导教师职责，有良好的思想道德修养、严谨的治学态度和良好的学术作风，严格遵守研究生导师职业道德规范“十不准”要求。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三、身体健康，能正常工作。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四、指导教师有明确的、稳定的研究方向，活跃在本学科的学术前沿，能持续不断地开展高水平的教学和科研工作。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（一）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学术学位硕士生导师年度招生资格审核基本要求</w:t>
      </w:r>
    </w:p>
    <w:p>
      <w:pPr>
        <w:pStyle w:val="4"/>
        <w:spacing w:beforeAutospacing="0" w:afterAutospacing="0" w:line="432" w:lineRule="auto"/>
        <w:ind w:firstLine="980" w:firstLineChars="35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1.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近三年，以第一作者（或通讯作者）发表与本专业相关的高水平论文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，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一级 B 类以上研究论文不少于 1 篇或二级以上研究论文不少于 2 篇。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2.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正在主持市厅级以上科研项目；或近两年内主持完成市厅级以上科研项目，且近三年内以第一作者（或通讯作者）发表一级 B 类研究论文不少于 2 篇；或正在主持横向科研项目（单项到账经费人不少于 6 万元；到账经费不含仪器代办费、外拨协作费、销售额；自经费到账之日起两年内有效）。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3.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可独立支配的科研经费不少于 2 万元。</w:t>
      </w:r>
    </w:p>
    <w:p>
      <w:pPr>
        <w:pStyle w:val="4"/>
        <w:spacing w:beforeAutospacing="0" w:afterAutospacing="0" w:line="432" w:lineRule="auto"/>
        <w:ind w:left="178" w:leftChars="85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（二）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专业学位硕士生导师年度招生资格审核基本要求</w:t>
      </w:r>
    </w:p>
    <w:p>
      <w:pPr>
        <w:pStyle w:val="4"/>
        <w:spacing w:beforeAutospacing="0" w:afterAutospacing="0" w:line="432" w:lineRule="auto"/>
        <w:ind w:left="178" w:leftChars="85" w:firstLine="420" w:firstLineChars="15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1.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 xml:space="preserve">近三年，发表与本专业相关的高水平论文、著作、获奖、决策咨询报告、专利等科研成果，须满足下列要求中的任意 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1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点：</w:t>
      </w:r>
    </w:p>
    <w:p>
      <w:pPr>
        <w:pStyle w:val="4"/>
        <w:spacing w:beforeAutospacing="0" w:afterAutospacing="0" w:line="432" w:lineRule="auto"/>
        <w:ind w:left="420" w:leftChars="20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(1)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以第一作者（或通讯作者）发表与本专业相关的论文二级以上研究论文不少于 1 篇</w:t>
      </w:r>
    </w:p>
    <w:p>
      <w:pPr>
        <w:pStyle w:val="4"/>
        <w:spacing w:beforeAutospacing="0" w:afterAutospacing="0" w:line="432" w:lineRule="auto"/>
        <w:ind w:left="420" w:leftChars="20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(2)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撰写出版本专业学术著作不少于 8 万字。</w:t>
      </w:r>
    </w:p>
    <w:p>
      <w:pPr>
        <w:pStyle w:val="4"/>
        <w:spacing w:beforeAutospacing="0" w:afterAutospacing="0" w:line="432" w:lineRule="auto"/>
        <w:ind w:left="420" w:leftChars="20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(3)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主持编写的教学案例被评为专业学位教指委优秀案例或入选“中国专业学位教学案例中心案例库”。</w:t>
      </w:r>
    </w:p>
    <w:p>
      <w:pPr>
        <w:pStyle w:val="4"/>
        <w:spacing w:beforeAutospacing="0" w:afterAutospacing="0" w:line="432" w:lineRule="auto"/>
        <w:ind w:left="420" w:leftChars="20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(4)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获国家级教学、科研成果奖励（有证书）；或省（部）级教学、科研成果一等奖（前七名）或二等奖（前五名）或三等奖（前三名）；或市（厅）级科研成果一等奖（前三名）或二等奖（第一名）。艺术创作成果在省级二类以上赛事中获奖。</w:t>
      </w:r>
    </w:p>
    <w:p>
      <w:pPr>
        <w:pStyle w:val="4"/>
        <w:spacing w:beforeAutospacing="0" w:afterAutospacing="0" w:line="432" w:lineRule="auto"/>
        <w:ind w:left="420" w:leftChars="20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 xml:space="preserve"> (5)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获授权 C 类专利 1 件（第一名）。</w:t>
      </w:r>
    </w:p>
    <w:p>
      <w:pPr>
        <w:pStyle w:val="4"/>
        <w:spacing w:beforeAutospacing="0" w:afterAutospacing="0" w:line="432" w:lineRule="auto"/>
        <w:ind w:left="420" w:leftChars="20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2.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正在主持市厅级以上科研项目；或正在承担省（部）级以上科研项目（前三名）；或正在主持横向科研项目（单项到账经费人文社科类不少于 6 万元；到账经费不含仪器代办费、外拨协作费、销售额；自经费到账之日起两年内有效）。</w:t>
      </w:r>
    </w:p>
    <w:p>
      <w:pPr>
        <w:pStyle w:val="4"/>
        <w:spacing w:beforeAutospacing="0" w:afterAutospacing="0" w:line="432" w:lineRule="auto"/>
        <w:ind w:left="420" w:leftChars="200"/>
        <w:rPr>
          <w:rFonts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3.</w:t>
      </w:r>
      <w:r>
        <w:rPr>
          <w:rFonts w:asciiTheme="majorEastAsia" w:hAnsiTheme="majorEastAsia" w:eastAsiaTheme="majorEastAsia" w:cstheme="majorEastAsia"/>
          <w:color w:val="333333"/>
          <w:sz w:val="28"/>
          <w:szCs w:val="28"/>
        </w:rPr>
        <w:t>可独立支配的科研经费不少于 1 万元；</w:t>
      </w:r>
    </w:p>
    <w:p>
      <w:pPr>
        <w:pStyle w:val="4"/>
        <w:spacing w:beforeAutospacing="0" w:afterAutospacing="0" w:line="432" w:lineRule="auto"/>
        <w:ind w:left="420" w:left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五、指导教师因公出差、出国、及在国外学习，应严格遵守学校的有关规定，并认真安排好离校期间的研究生指导工作；若离校一年以上，且无法指导研究生的学习和科研，不得申请年度招生资格。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根据本实施细则，学院每年对指导教师进行考核，确定通过年度招生资格的指导教师名单。</w:t>
      </w:r>
    </w:p>
    <w:p>
      <w:pPr>
        <w:pStyle w:val="4"/>
        <w:spacing w:beforeAutospacing="0" w:afterAutospacing="0" w:line="432" w:lineRule="auto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本细则自颁布之日起执行。</w:t>
      </w:r>
    </w:p>
    <w:p>
      <w:pPr>
        <w:pStyle w:val="4"/>
        <w:spacing w:beforeAutospacing="0" w:afterAutospacing="0" w:line="432" w:lineRule="auto"/>
        <w:ind w:firstLine="555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教育科学学院</w:t>
      </w:r>
    </w:p>
    <w:p>
      <w:pPr>
        <w:pStyle w:val="4"/>
        <w:spacing w:beforeAutospacing="0" w:afterAutospacing="0" w:line="432" w:lineRule="auto"/>
        <w:jc w:val="righ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202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.0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  <w:t>.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  <w:t>20</w:t>
      </w:r>
      <w:bookmarkStart w:id="0" w:name="_GoBack"/>
      <w:bookmarkEnd w:id="0"/>
    </w:p>
    <w:p>
      <w:pPr>
        <w:rPr>
          <w:rStyle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Q2NGI4MWJjOGNlYzQyNTVmYjUwNDFmOWRiZTMxOTYifQ=="/>
  </w:docVars>
  <w:rsids>
    <w:rsidRoot w:val="004A7323"/>
    <w:rsid w:val="00024578"/>
    <w:rsid w:val="0003578B"/>
    <w:rsid w:val="000A7CD0"/>
    <w:rsid w:val="00105877"/>
    <w:rsid w:val="0012479E"/>
    <w:rsid w:val="00166F9A"/>
    <w:rsid w:val="001813C0"/>
    <w:rsid w:val="002060E5"/>
    <w:rsid w:val="002A2AC4"/>
    <w:rsid w:val="00333EC2"/>
    <w:rsid w:val="0040581F"/>
    <w:rsid w:val="004315E5"/>
    <w:rsid w:val="004371DF"/>
    <w:rsid w:val="00476A0D"/>
    <w:rsid w:val="004A7323"/>
    <w:rsid w:val="004D36DA"/>
    <w:rsid w:val="00570F84"/>
    <w:rsid w:val="006B5A75"/>
    <w:rsid w:val="008466B9"/>
    <w:rsid w:val="00921EC7"/>
    <w:rsid w:val="009374C8"/>
    <w:rsid w:val="0094666C"/>
    <w:rsid w:val="00A15B98"/>
    <w:rsid w:val="00A34D2D"/>
    <w:rsid w:val="00AA29CB"/>
    <w:rsid w:val="00B2168B"/>
    <w:rsid w:val="00B70D82"/>
    <w:rsid w:val="00C568B0"/>
    <w:rsid w:val="00D41DF5"/>
    <w:rsid w:val="00DB6BF9"/>
    <w:rsid w:val="00F101F4"/>
    <w:rsid w:val="00F52F3C"/>
    <w:rsid w:val="039C760F"/>
    <w:rsid w:val="057D71BD"/>
    <w:rsid w:val="0AAF5799"/>
    <w:rsid w:val="29631A49"/>
    <w:rsid w:val="3B2473A4"/>
    <w:rsid w:val="754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14">
    <w:name w:val="Heading1"/>
    <w:basedOn w:val="1"/>
    <w:next w:val="1"/>
    <w:qFormat/>
    <w:uiPriority w:val="0"/>
    <w:pPr>
      <w:keepNext/>
      <w:keepLines/>
      <w:spacing w:before="340" w:after="330" w:line="576" w:lineRule="auto"/>
    </w:pPr>
    <w:rPr>
      <w:kern w:val="44"/>
      <w:sz w:val="44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fontstyle01"/>
    <w:basedOn w:val="6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20">
    <w:name w:val="fontstyle11"/>
    <w:basedOn w:val="6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21">
    <w:name w:val="fontstyle31"/>
    <w:basedOn w:val="6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4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1150</Words>
  <Characters>1188</Characters>
  <Lines>8</Lines>
  <Paragraphs>2</Paragraphs>
  <TotalTime>117</TotalTime>
  <ScaleCrop>false</ScaleCrop>
  <LinksUpToDate>false</LinksUpToDate>
  <CharactersWithSpaces>1217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2020-03-07T06:50:00Z</dcterms:created>
  <dc:creator>Lenovo</dc:creator>
  <cp:lastModifiedBy>Administrator</cp:lastModifiedBy>
  <dcterms:modified xsi:type="dcterms:W3CDTF">2023-02-20T01:42:08Z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45D98ED734324C9BA79A7561211CACC0</vt:lpwstr>
  </property>
</Properties>
</file>